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XX学院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职称申报推荐及考核情况报告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学校职称评审工作领导小组：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根据学校2023年度职称评审工作安排，我院按要求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进行了个人申报和基层教学单位初审推荐工作，现将相关情况报告如下：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我院申报2023年度职称评审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人，接收个人申报材料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份。经对申报人员的基本情况、评审材料、证件等进行真实性及专业符合度初审，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人符合2023年度职称申报要求。其中，中级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人，副高级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人，正高级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人不符合2023年度职称申报要求。其中，中级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人，副高级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人，正高级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我院对申报人员从德、能、勤、绩、廉等方面进行了全面考核，综合各方面情况，经公示无异议，确定拟推荐人选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人，不予推荐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不予推荐人员名单及原因如下：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/>
          <w:i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/>
          <w:iCs/>
          <w:sz w:val="32"/>
          <w:szCs w:val="32"/>
          <w:u w:val="none"/>
          <w:lang w:val="en-US" w:eastAsia="zh-CN"/>
        </w:rPr>
        <w:t>（可另附页）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特此报告。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XX学院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440" w:firstLineChars="17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2023年11月10日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1DF80"/>
    <w:multiLevelType w:val="singleLevel"/>
    <w:tmpl w:val="76F1DF8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